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6 класс 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6 класс родной язы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ООО МОУ СОШ № 32 Г.о.Подольск </w:t>
      </w:r>
    </w:p>
    <w:p w:rsidR="00C20486" w:rsidRPr="00262563" w:rsidRDefault="00C20486" w:rsidP="00C204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 комплект:</w:t>
      </w:r>
    </w:p>
    <w:p w:rsidR="00C20486" w:rsidRPr="00262563" w:rsidRDefault="00C20486" w:rsidP="00C20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C20486" w:rsidRPr="00221855" w:rsidRDefault="00C20486" w:rsidP="00C20486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 общности российского народа и судьбе России, патриотизм, готовность к служению Отечеству, его защите;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20486" w:rsidRPr="00946124" w:rsidRDefault="00C20486" w:rsidP="00C20486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C20486" w:rsidRPr="00946124" w:rsidRDefault="00C20486" w:rsidP="00C2048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1. Регулятивные универсальные учебные действия</w:t>
      </w:r>
    </w:p>
    <w:p w:rsidR="00C20486" w:rsidRPr="006D3A58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C20486" w:rsidRPr="00946124" w:rsidRDefault="00C20486" w:rsidP="00C204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20486" w:rsidRDefault="00C20486" w:rsidP="00C20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20486" w:rsidRDefault="00C20486" w:rsidP="00C20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20486" w:rsidRPr="00262563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год обучения (17 </w:t>
      </w:r>
      <w:r w:rsidRPr="00262563">
        <w:rPr>
          <w:rFonts w:ascii="Times New Roman" w:hAnsi="Times New Roman" w:cs="Times New Roman"/>
          <w:b/>
          <w:sz w:val="24"/>
          <w:szCs w:val="24"/>
        </w:rPr>
        <w:t>ч)</w:t>
      </w:r>
    </w:p>
    <w:p w:rsidR="00C20486" w:rsidRPr="00262563" w:rsidRDefault="00C20486" w:rsidP="00C204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C20486" w:rsidRPr="00262563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262563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0486" w:rsidRPr="00262563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24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</w:t>
      </w:r>
      <w:r w:rsidRPr="00946124">
        <w:rPr>
          <w:rFonts w:ascii="Times New Roman" w:hAnsi="Times New Roman" w:cs="Times New Roman"/>
          <w:sz w:val="24"/>
          <w:szCs w:val="24"/>
        </w:rPr>
        <w:lastRenderedPageBreak/>
        <w:t xml:space="preserve">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мн.ч. существительных;  ударение в кратких формах прилагательных; подвижное ударение в глаголах; ударение в формах глагола прошедшего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времени;ударение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в возвратных глаголах в формах прошедшего времени м.р.; ударение в формах глаголов II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; глаголы звон</w:t>
      </w:r>
      <w:r w:rsidRPr="00946124">
        <w:rPr>
          <w:rFonts w:ascii="Times New Roman" w:hAnsi="Times New Roman" w:cs="Times New Roman"/>
          <w:b/>
          <w:sz w:val="24"/>
          <w:szCs w:val="24"/>
        </w:rPr>
        <w:t>и</w:t>
      </w:r>
      <w:r w:rsidRPr="00946124">
        <w:rPr>
          <w:rFonts w:ascii="Times New Roman" w:hAnsi="Times New Roman" w:cs="Times New Roman"/>
          <w:sz w:val="24"/>
          <w:szCs w:val="24"/>
        </w:rPr>
        <w:t>ть, включ</w:t>
      </w:r>
      <w:r w:rsidRPr="00946124">
        <w:rPr>
          <w:rFonts w:ascii="Times New Roman" w:hAnsi="Times New Roman" w:cs="Times New Roman"/>
          <w:b/>
          <w:sz w:val="24"/>
          <w:szCs w:val="24"/>
        </w:rPr>
        <w:t>и</w:t>
      </w:r>
      <w:r w:rsidRPr="00946124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946124">
        <w:rPr>
          <w:rFonts w:ascii="Times New Roman" w:hAnsi="Times New Roman" w:cs="Times New Roman"/>
          <w:b/>
          <w:sz w:val="24"/>
          <w:szCs w:val="24"/>
        </w:rPr>
        <w:t>а</w:t>
      </w:r>
      <w:r w:rsidRPr="00946124">
        <w:rPr>
          <w:rFonts w:ascii="Times New Roman" w:hAnsi="Times New Roman" w:cs="Times New Roman"/>
          <w:sz w:val="24"/>
          <w:szCs w:val="24"/>
        </w:rPr>
        <w:t>ловать – балов</w:t>
      </w:r>
      <w:r w:rsidRPr="00946124">
        <w:rPr>
          <w:rFonts w:ascii="Times New Roman" w:hAnsi="Times New Roman" w:cs="Times New Roman"/>
          <w:b/>
          <w:sz w:val="24"/>
          <w:szCs w:val="24"/>
        </w:rPr>
        <w:t>а</w:t>
      </w:r>
      <w:r w:rsidRPr="00946124">
        <w:rPr>
          <w:rFonts w:ascii="Times New Roman" w:hAnsi="Times New Roman" w:cs="Times New Roman"/>
          <w:sz w:val="24"/>
          <w:szCs w:val="24"/>
        </w:rPr>
        <w:t>ть, обесп</w:t>
      </w:r>
      <w:r w:rsidRPr="00946124">
        <w:rPr>
          <w:rFonts w:ascii="Times New Roman" w:hAnsi="Times New Roman" w:cs="Times New Roman"/>
          <w:b/>
          <w:sz w:val="24"/>
          <w:szCs w:val="24"/>
        </w:rPr>
        <w:t>е</w:t>
      </w:r>
      <w:r w:rsidRPr="00946124">
        <w:rPr>
          <w:rFonts w:ascii="Times New Roman" w:hAnsi="Times New Roman" w:cs="Times New Roman"/>
          <w:sz w:val="24"/>
          <w:szCs w:val="24"/>
        </w:rPr>
        <w:t>чение – обеспеч</w:t>
      </w:r>
      <w:r w:rsidRPr="00946124">
        <w:rPr>
          <w:rFonts w:ascii="Times New Roman" w:hAnsi="Times New Roman" w:cs="Times New Roman"/>
          <w:b/>
          <w:sz w:val="24"/>
          <w:szCs w:val="24"/>
        </w:rPr>
        <w:t>е</w:t>
      </w:r>
      <w:r w:rsidRPr="00946124">
        <w:rPr>
          <w:rFonts w:ascii="Times New Roman" w:hAnsi="Times New Roman" w:cs="Times New Roman"/>
          <w:sz w:val="24"/>
          <w:szCs w:val="24"/>
        </w:rPr>
        <w:t>ние.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946124">
        <w:rPr>
          <w:rFonts w:ascii="Times New Roman" w:hAnsi="Times New Roman" w:cs="Times New Roman"/>
          <w:i/>
          <w:sz w:val="24"/>
          <w:szCs w:val="24"/>
        </w:rPr>
        <w:t>-а/-я</w:t>
      </w:r>
      <w:r w:rsidRPr="00946124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/-и</w:t>
      </w:r>
      <w:r w:rsidRPr="00946124">
        <w:rPr>
          <w:rFonts w:ascii="Times New Roman" w:hAnsi="Times New Roman" w:cs="Times New Roman"/>
          <w:sz w:val="24"/>
          <w:szCs w:val="24"/>
        </w:rPr>
        <w:t xml:space="preserve"> (</w:t>
      </w:r>
      <w:r w:rsidRPr="00946124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мн.ч. существительных м. и ср.р. с нулевым окончанием и окончанием </w:t>
      </w:r>
      <w:r w:rsidRPr="0094612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(</w:t>
      </w:r>
      <w:r w:rsidRPr="00946124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мн.ч. существительных ж.р. на </w:t>
      </w:r>
      <w:r w:rsidRPr="0094612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(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, кухонь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тв.п.мн.ч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. ед.ч. существительных м.р. (</w:t>
      </w:r>
      <w:r w:rsidRPr="00946124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946124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946124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46124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т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46124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»</w:t>
      </w:r>
      <w:r w:rsidRPr="00946124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946124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946124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946124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946124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946124">
        <w:rPr>
          <w:rFonts w:ascii="Times New Roman" w:hAnsi="Times New Roman" w:cs="Times New Roman"/>
          <w:sz w:val="24"/>
          <w:szCs w:val="24"/>
        </w:rPr>
        <w:t>.).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946124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946124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946124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946124">
        <w:rPr>
          <w:rFonts w:ascii="Times New Roman" w:hAnsi="Times New Roman" w:cs="Times New Roman"/>
          <w:sz w:val="24"/>
          <w:szCs w:val="24"/>
        </w:rPr>
        <w:t>).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124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деятельность. Текст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946124">
        <w:rPr>
          <w:rFonts w:ascii="Times New Roman" w:hAnsi="Times New Roman" w:cs="Times New Roman"/>
          <w:b/>
          <w:sz w:val="24"/>
          <w:szCs w:val="24"/>
        </w:rPr>
        <w:tab/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723F4D" w:rsidRDefault="00723F4D"/>
    <w:p w:rsidR="00C20486" w:rsidRPr="00D715C8" w:rsidRDefault="00C20486" w:rsidP="00C20486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C20486" w:rsidRPr="00837CE8" w:rsidRDefault="00C2048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7C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9067"/>
      </w:tblGrid>
      <w:tr w:rsidR="00C20486" w:rsidRPr="00837CE8" w:rsidTr="00C20486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C20486" w:rsidRPr="00837CE8" w:rsidTr="00C20486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486" w:rsidRPr="00837CE8" w:rsidRDefault="00C20486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486" w:rsidRPr="00837CE8" w:rsidRDefault="00C20486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86" w:rsidRPr="00837CE8" w:rsidTr="00717551">
        <w:trPr>
          <w:trHeight w:val="230"/>
        </w:trPr>
        <w:tc>
          <w:tcPr>
            <w:tcW w:w="10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5 ч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 Краткая история русского литературного языка. </w:t>
            </w: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Роль церковнославянского (старославянского) языка в развитии русского языка.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своеобразие диалектизмов. Диалекты как часть народной культуры.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 Пополнение словарного состава русского языка новой лексикой.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Национально-культурная специфика русской фразеологии. Исторические прототипы фразеологизмов.</w:t>
            </w:r>
          </w:p>
        </w:tc>
      </w:tr>
      <w:tr w:rsidR="00C20486" w:rsidRPr="00837CE8" w:rsidTr="00C20486">
        <w:trPr>
          <w:trHeight w:val="375"/>
        </w:trPr>
        <w:tc>
          <w:tcPr>
            <w:tcW w:w="10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9 ч</w:t>
            </w:r>
          </w:p>
        </w:tc>
      </w:tr>
      <w:tr w:rsidR="00C20486" w:rsidRPr="00837CE8" w:rsidTr="00C20486">
        <w:trPr>
          <w:trHeight w:val="436"/>
        </w:trPr>
        <w:tc>
          <w:tcPr>
            <w:tcW w:w="10229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Произносительные различия в русском языке. Нормы произношения отдельных грамматических форм.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Синонимы и точность речи.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Антонимы и точность речи.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Лексические омонимы и точность речи.</w:t>
            </w:r>
          </w:p>
        </w:tc>
      </w:tr>
      <w:tr w:rsidR="00C20486" w:rsidRPr="00837CE8" w:rsidTr="00C20486">
        <w:trPr>
          <w:trHeight w:val="195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Категория склонения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имен существительных и прилагательных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Национальные особенности речевого этикета. Принципы этикетного общения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Этика и речевой этикет. Этикетные формулы</w:t>
            </w:r>
          </w:p>
        </w:tc>
      </w:tr>
      <w:tr w:rsidR="00C20486" w:rsidRPr="00837CE8" w:rsidTr="00717551">
        <w:trPr>
          <w:trHeight w:val="230"/>
        </w:trPr>
        <w:tc>
          <w:tcPr>
            <w:tcW w:w="10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3 ч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Эффективные приёмы чтения.</w:t>
            </w:r>
          </w:p>
        </w:tc>
      </w:tr>
      <w:tr w:rsidR="00C20486" w:rsidRPr="00837CE8" w:rsidTr="00C20486">
        <w:trPr>
          <w:trHeight w:val="1041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 Структура устного ответа. Различные виды ответов</w:t>
            </w:r>
          </w:p>
        </w:tc>
      </w:tr>
    </w:tbl>
    <w:p w:rsidR="00C20486" w:rsidRDefault="00C20486"/>
    <w:sectPr w:rsidR="00C20486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52940"/>
    <w:rsid w:val="00062DF8"/>
    <w:rsid w:val="00271D96"/>
    <w:rsid w:val="00356C2C"/>
    <w:rsid w:val="00521A3C"/>
    <w:rsid w:val="00723F4D"/>
    <w:rsid w:val="0074660F"/>
    <w:rsid w:val="007702DB"/>
    <w:rsid w:val="00952940"/>
    <w:rsid w:val="009C05AD"/>
    <w:rsid w:val="00AC0092"/>
    <w:rsid w:val="00C2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486"/>
    <w:rPr>
      <w:b/>
      <w:bCs/>
    </w:rPr>
  </w:style>
  <w:style w:type="character" w:customStyle="1" w:styleId="a4">
    <w:name w:val="Основной текст Знак"/>
    <w:link w:val="a5"/>
    <w:rsid w:val="00C20486"/>
    <w:rPr>
      <w:shd w:val="clear" w:color="auto" w:fill="FFFFFF"/>
    </w:rPr>
  </w:style>
  <w:style w:type="paragraph" w:styleId="a5">
    <w:name w:val="Body Text"/>
    <w:basedOn w:val="a"/>
    <w:link w:val="a4"/>
    <w:rsid w:val="00C2048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C20486"/>
  </w:style>
  <w:style w:type="table" w:styleId="a6">
    <w:name w:val="Table Grid"/>
    <w:basedOn w:val="a1"/>
    <w:uiPriority w:val="5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2515</Words>
  <Characters>14340</Characters>
  <Application>Microsoft Office Word</Application>
  <DocSecurity>0</DocSecurity>
  <Lines>119</Lines>
  <Paragraphs>33</Paragraphs>
  <ScaleCrop>false</ScaleCrop>
  <Company>Grizli777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4</cp:revision>
  <dcterms:created xsi:type="dcterms:W3CDTF">2019-09-12T13:47:00Z</dcterms:created>
  <dcterms:modified xsi:type="dcterms:W3CDTF">2020-10-05T17:38:00Z</dcterms:modified>
</cp:coreProperties>
</file>